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8EF66A2" w14:textId="77777777" w:rsidR="00831D15" w:rsidRDefault="00A2059A" w:rsidP="005402FC">
      <w:pPr>
        <w:jc w:val="center"/>
        <w:rPr>
          <w:b/>
          <w:bCs/>
          <w:sz w:val="24"/>
          <w:szCs w:val="24"/>
        </w:rPr>
      </w:pPr>
      <w:r>
        <w:rPr>
          <w:sz w:val="24"/>
          <w:szCs w:val="24"/>
          <w:lang w:val="en-CA"/>
        </w:rPr>
        <w:fldChar w:fldCharType="begin"/>
      </w:r>
      <w:r w:rsidR="00831D15">
        <w:rPr>
          <w:sz w:val="24"/>
          <w:szCs w:val="24"/>
          <w:lang w:val="en-CA"/>
        </w:rPr>
        <w:instrText xml:space="preserve"> SEQ CHAPTER \h \r 1</w:instrText>
      </w:r>
      <w:r>
        <w:rPr>
          <w:sz w:val="24"/>
          <w:szCs w:val="24"/>
          <w:lang w:val="en-CA"/>
        </w:rPr>
        <w:fldChar w:fldCharType="end"/>
      </w:r>
      <w:r w:rsidR="00831D15">
        <w:rPr>
          <w:b/>
          <w:bCs/>
          <w:sz w:val="24"/>
          <w:szCs w:val="24"/>
        </w:rPr>
        <w:t xml:space="preserve">STATE BAR OF </w:t>
      </w:r>
      <w:smartTag w:uri="urn:schemas-microsoft-com:office:smarttags" w:element="State">
        <w:smartTag w:uri="urn:schemas-microsoft-com:office:smarttags" w:element="place">
          <w:r w:rsidR="00831D15">
            <w:rPr>
              <w:b/>
              <w:bCs/>
              <w:sz w:val="24"/>
              <w:szCs w:val="24"/>
            </w:rPr>
            <w:t>MONTANA</w:t>
          </w:r>
        </w:smartTag>
      </w:smartTag>
    </w:p>
    <w:p w14:paraId="28EF66A3" w14:textId="77777777" w:rsidR="00831D15" w:rsidRDefault="00831D15" w:rsidP="00B339F5">
      <w:pPr>
        <w:jc w:val="center"/>
        <w:rPr>
          <w:sz w:val="24"/>
          <w:szCs w:val="24"/>
        </w:rPr>
      </w:pPr>
      <w:r>
        <w:rPr>
          <w:b/>
          <w:bCs/>
          <w:sz w:val="24"/>
          <w:szCs w:val="24"/>
        </w:rPr>
        <w:t>RESOLUTION NO. 1</w:t>
      </w:r>
    </w:p>
    <w:p w14:paraId="28EF66A4" w14:textId="77777777" w:rsidR="00831D15" w:rsidRDefault="00831D15" w:rsidP="005402FC">
      <w:pPr>
        <w:rPr>
          <w:sz w:val="24"/>
          <w:szCs w:val="24"/>
        </w:rPr>
      </w:pPr>
    </w:p>
    <w:p w14:paraId="28EF66A5" w14:textId="77777777" w:rsidR="00831D15" w:rsidRDefault="00831D15" w:rsidP="005402FC">
      <w:pPr>
        <w:rPr>
          <w:sz w:val="24"/>
          <w:szCs w:val="24"/>
        </w:rPr>
      </w:pPr>
    </w:p>
    <w:p w14:paraId="28EF66A6" w14:textId="77777777" w:rsidR="00831D15" w:rsidRDefault="00831D15" w:rsidP="005402FC">
      <w:pPr>
        <w:jc w:val="both"/>
        <w:rPr>
          <w:sz w:val="24"/>
          <w:szCs w:val="24"/>
        </w:rPr>
      </w:pPr>
      <w:r>
        <w:tab/>
      </w:r>
      <w:r w:rsidR="00A2059A">
        <w:fldChar w:fldCharType="begin"/>
      </w:r>
      <w:r>
        <w:instrText>ADVANCE \d 1</w:instrText>
      </w:r>
      <w:r w:rsidR="00A2059A">
        <w:fldChar w:fldCharType="end"/>
      </w:r>
      <w:r>
        <w:rPr>
          <w:b/>
          <w:bCs/>
          <w:sz w:val="70"/>
          <w:szCs w:val="70"/>
        </w:rPr>
        <w:t>W</w:t>
      </w:r>
      <w:r w:rsidR="00A2059A">
        <w:rPr>
          <w:b/>
          <w:bCs/>
          <w:sz w:val="70"/>
          <w:szCs w:val="70"/>
        </w:rPr>
        <w:fldChar w:fldCharType="begin"/>
      </w:r>
      <w:r>
        <w:rPr>
          <w:b/>
          <w:bCs/>
          <w:sz w:val="70"/>
          <w:szCs w:val="70"/>
        </w:rPr>
        <w:instrText>ADVANCE \u 1</w:instrText>
      </w:r>
      <w:r w:rsidR="00A2059A">
        <w:rPr>
          <w:b/>
          <w:bCs/>
          <w:sz w:val="70"/>
          <w:szCs w:val="70"/>
        </w:rPr>
        <w:fldChar w:fldCharType="end"/>
      </w:r>
      <w:r>
        <w:rPr>
          <w:b/>
          <w:bCs/>
          <w:sz w:val="24"/>
          <w:szCs w:val="24"/>
        </w:rPr>
        <w:t>HEREAS</w:t>
      </w:r>
      <w:r>
        <w:rPr>
          <w:sz w:val="24"/>
          <w:szCs w:val="24"/>
        </w:rPr>
        <w:t xml:space="preserve">, the State Bar of Montana </w:t>
      </w:r>
      <w:bookmarkStart w:id="1" w:name="BM_1_"/>
      <w:bookmarkEnd w:id="1"/>
      <w:r>
        <w:rPr>
          <w:sz w:val="24"/>
          <w:szCs w:val="24"/>
        </w:rPr>
        <w:t xml:space="preserve">has supported the operations of Montana Legal Services Association since in 1966; and, </w:t>
      </w:r>
    </w:p>
    <w:p w14:paraId="28EF66A7" w14:textId="77777777" w:rsidR="00831D15" w:rsidRDefault="00831D15" w:rsidP="005402FC">
      <w:pPr>
        <w:jc w:val="both"/>
        <w:rPr>
          <w:sz w:val="24"/>
          <w:szCs w:val="24"/>
        </w:rPr>
      </w:pPr>
    </w:p>
    <w:p w14:paraId="28EF66A8" w14:textId="77777777" w:rsidR="00831D15" w:rsidRDefault="00831D15" w:rsidP="005402FC">
      <w:pPr>
        <w:jc w:val="both"/>
        <w:rPr>
          <w:sz w:val="24"/>
          <w:szCs w:val="24"/>
        </w:rPr>
      </w:pPr>
      <w:r>
        <w:rPr>
          <w:sz w:val="24"/>
          <w:szCs w:val="24"/>
        </w:rPr>
        <w:tab/>
      </w:r>
      <w:r>
        <w:rPr>
          <w:b/>
          <w:bCs/>
          <w:sz w:val="24"/>
          <w:szCs w:val="24"/>
        </w:rPr>
        <w:t>WHEREAS</w:t>
      </w:r>
      <w:r>
        <w:rPr>
          <w:sz w:val="24"/>
          <w:szCs w:val="24"/>
        </w:rPr>
        <w:t>, nearly 20% of all Montanans are still eligible for assistance by Montana Legal Services Association; and</w:t>
      </w:r>
    </w:p>
    <w:p w14:paraId="28EF66A9" w14:textId="77777777" w:rsidR="00831D15" w:rsidRDefault="00831D15" w:rsidP="005402FC">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8EF66AA" w14:textId="13420837" w:rsidR="00831D15" w:rsidRDefault="00831D15" w:rsidP="005402FC">
      <w:pPr>
        <w:jc w:val="both"/>
        <w:rPr>
          <w:sz w:val="24"/>
          <w:szCs w:val="24"/>
        </w:rPr>
      </w:pPr>
      <w:r>
        <w:rPr>
          <w:b/>
          <w:bCs/>
          <w:sz w:val="24"/>
          <w:szCs w:val="24"/>
        </w:rPr>
        <w:tab/>
        <w:t>WHEREAS</w:t>
      </w:r>
      <w:r>
        <w:rPr>
          <w:sz w:val="24"/>
          <w:szCs w:val="24"/>
        </w:rPr>
        <w:t xml:space="preserve">, the State Bar works with Montana Legal Services Association, the Montana Supreme Court’s </w:t>
      </w:r>
      <w:r w:rsidR="008D58D0">
        <w:rPr>
          <w:sz w:val="24"/>
          <w:szCs w:val="24"/>
        </w:rPr>
        <w:t>Access to Justice Commission</w:t>
      </w:r>
      <w:r>
        <w:rPr>
          <w:sz w:val="24"/>
          <w:szCs w:val="24"/>
        </w:rPr>
        <w:t xml:space="preserve"> and a host of other access-to-justice stakeholders in Montana; and</w:t>
      </w:r>
    </w:p>
    <w:p w14:paraId="28EF66AB" w14:textId="77777777" w:rsidR="00831D15" w:rsidRDefault="00831D15" w:rsidP="005402FC">
      <w:pPr>
        <w:jc w:val="both"/>
        <w:rPr>
          <w:sz w:val="24"/>
          <w:szCs w:val="24"/>
        </w:rPr>
      </w:pPr>
    </w:p>
    <w:p w14:paraId="28EF66AC" w14:textId="77777777" w:rsidR="00831D15" w:rsidRDefault="00831D15" w:rsidP="005402FC">
      <w:pPr>
        <w:jc w:val="both"/>
        <w:rPr>
          <w:sz w:val="24"/>
          <w:szCs w:val="24"/>
        </w:rPr>
      </w:pPr>
      <w:r>
        <w:rPr>
          <w:sz w:val="24"/>
          <w:szCs w:val="24"/>
        </w:rPr>
        <w:tab/>
      </w:r>
      <w:r>
        <w:rPr>
          <w:b/>
          <w:bCs/>
          <w:sz w:val="24"/>
          <w:szCs w:val="24"/>
        </w:rPr>
        <w:t>WHEREAS</w:t>
      </w:r>
      <w:r>
        <w:rPr>
          <w:sz w:val="24"/>
          <w:szCs w:val="24"/>
        </w:rPr>
        <w:t xml:space="preserve">, </w:t>
      </w:r>
      <w:smartTag w:uri="urn:schemas-microsoft-com:office:smarttags" w:element="place">
        <w:r>
          <w:rPr>
            <w:sz w:val="24"/>
            <w:szCs w:val="24"/>
          </w:rPr>
          <w:t>Montana</w:t>
        </w:r>
      </w:smartTag>
      <w:r>
        <w:rPr>
          <w:sz w:val="24"/>
          <w:szCs w:val="24"/>
        </w:rPr>
        <w:t xml:space="preserve">’ judiciary has been responsive and supportive in creating new and effective </w:t>
      </w:r>
      <w:r>
        <w:rPr>
          <w:i/>
          <w:iCs/>
          <w:sz w:val="24"/>
          <w:szCs w:val="24"/>
        </w:rPr>
        <w:t>pro bono</w:t>
      </w:r>
      <w:r>
        <w:rPr>
          <w:sz w:val="24"/>
          <w:szCs w:val="24"/>
        </w:rPr>
        <w:t xml:space="preserve"> and </w:t>
      </w:r>
      <w:r>
        <w:rPr>
          <w:i/>
          <w:iCs/>
          <w:sz w:val="24"/>
          <w:szCs w:val="24"/>
        </w:rPr>
        <w:t>pro se</w:t>
      </w:r>
      <w:r>
        <w:rPr>
          <w:sz w:val="24"/>
          <w:szCs w:val="24"/>
        </w:rPr>
        <w:t xml:space="preserve"> programs throughout the state; and</w:t>
      </w:r>
    </w:p>
    <w:p w14:paraId="28EF66AD" w14:textId="77777777" w:rsidR="00831D15" w:rsidRDefault="00831D15" w:rsidP="005402FC">
      <w:pPr>
        <w:jc w:val="both"/>
        <w:rPr>
          <w:sz w:val="24"/>
          <w:szCs w:val="24"/>
        </w:rPr>
      </w:pPr>
    </w:p>
    <w:p w14:paraId="28EF66AE" w14:textId="77777777" w:rsidR="00831D15" w:rsidRDefault="00831D15" w:rsidP="005402FC">
      <w:pPr>
        <w:jc w:val="both"/>
        <w:rPr>
          <w:sz w:val="24"/>
          <w:szCs w:val="24"/>
        </w:rPr>
      </w:pPr>
      <w:r>
        <w:rPr>
          <w:sz w:val="24"/>
          <w:szCs w:val="24"/>
        </w:rPr>
        <w:tab/>
      </w:r>
      <w:r>
        <w:rPr>
          <w:b/>
          <w:bCs/>
          <w:sz w:val="24"/>
          <w:szCs w:val="24"/>
        </w:rPr>
        <w:t>WHEREAS</w:t>
      </w:r>
      <w:r>
        <w:rPr>
          <w:sz w:val="24"/>
          <w:szCs w:val="24"/>
        </w:rPr>
        <w:t>, the private bar has been supportive and responsive to the need for legal representation of Montanan’s living in poverty; and</w:t>
      </w:r>
    </w:p>
    <w:p w14:paraId="28EF66AF" w14:textId="77777777" w:rsidR="00831D15" w:rsidRDefault="00831D15" w:rsidP="005402FC">
      <w:pPr>
        <w:jc w:val="both"/>
        <w:rPr>
          <w:sz w:val="24"/>
          <w:szCs w:val="24"/>
        </w:rPr>
      </w:pPr>
    </w:p>
    <w:p w14:paraId="28EF66B0" w14:textId="77777777" w:rsidR="00831D15" w:rsidRDefault="00831D15" w:rsidP="005402FC">
      <w:pPr>
        <w:jc w:val="both"/>
        <w:rPr>
          <w:sz w:val="24"/>
          <w:szCs w:val="24"/>
        </w:rPr>
      </w:pPr>
      <w:r>
        <w:rPr>
          <w:sz w:val="24"/>
          <w:szCs w:val="24"/>
        </w:rPr>
        <w:tab/>
      </w:r>
      <w:r>
        <w:rPr>
          <w:b/>
          <w:bCs/>
          <w:sz w:val="24"/>
          <w:szCs w:val="24"/>
        </w:rPr>
        <w:t>WHEREAS</w:t>
      </w:r>
      <w:r>
        <w:rPr>
          <w:sz w:val="24"/>
          <w:szCs w:val="24"/>
        </w:rPr>
        <w:t>, private attorney involvement, together with the strong delivery system of the Montana Legal Services Association, is still unable to serve all legal needs of those unable to afford essential legal services; and</w:t>
      </w:r>
    </w:p>
    <w:p w14:paraId="28EF66B1" w14:textId="77777777" w:rsidR="00831D15" w:rsidRDefault="00831D15" w:rsidP="005402FC">
      <w:pPr>
        <w:jc w:val="both"/>
        <w:rPr>
          <w:sz w:val="24"/>
          <w:szCs w:val="24"/>
        </w:rPr>
      </w:pPr>
    </w:p>
    <w:p w14:paraId="28EF66B2" w14:textId="6DF3E962" w:rsidR="00831D15" w:rsidRDefault="00831D15" w:rsidP="005402FC">
      <w:pPr>
        <w:jc w:val="both"/>
        <w:rPr>
          <w:sz w:val="24"/>
          <w:szCs w:val="24"/>
        </w:rPr>
      </w:pPr>
      <w:r>
        <w:rPr>
          <w:sz w:val="24"/>
          <w:szCs w:val="24"/>
        </w:rPr>
        <w:tab/>
      </w:r>
      <w:r>
        <w:rPr>
          <w:b/>
          <w:bCs/>
          <w:sz w:val="24"/>
          <w:szCs w:val="24"/>
        </w:rPr>
        <w:t>NOW THEREFORE BE IT RESOLVED</w:t>
      </w:r>
      <w:r>
        <w:rPr>
          <w:sz w:val="24"/>
          <w:szCs w:val="24"/>
        </w:rPr>
        <w:t xml:space="preserve">, that the State Bar of Montana, in its annual meeting, assembled at </w:t>
      </w:r>
      <w:r w:rsidR="00242767">
        <w:rPr>
          <w:sz w:val="24"/>
          <w:szCs w:val="24"/>
        </w:rPr>
        <w:t>Billings</w:t>
      </w:r>
      <w:r>
        <w:rPr>
          <w:sz w:val="24"/>
          <w:szCs w:val="24"/>
        </w:rPr>
        <w:t xml:space="preserve">, this </w:t>
      </w:r>
      <w:r w:rsidR="00242767">
        <w:rPr>
          <w:sz w:val="24"/>
          <w:szCs w:val="24"/>
        </w:rPr>
        <w:t>13</w:t>
      </w:r>
      <w:r w:rsidRPr="002A2EEC">
        <w:rPr>
          <w:sz w:val="24"/>
          <w:szCs w:val="24"/>
          <w:vertAlign w:val="superscript"/>
        </w:rPr>
        <w:t>th</w:t>
      </w:r>
      <w:r w:rsidR="00347D8B">
        <w:rPr>
          <w:sz w:val="24"/>
          <w:szCs w:val="24"/>
        </w:rPr>
        <w:t xml:space="preserve"> day of September 201</w:t>
      </w:r>
      <w:r w:rsidR="00242767">
        <w:rPr>
          <w:sz w:val="24"/>
          <w:szCs w:val="24"/>
        </w:rPr>
        <w:t>9</w:t>
      </w:r>
      <w:r>
        <w:rPr>
          <w:sz w:val="24"/>
          <w:szCs w:val="24"/>
        </w:rPr>
        <w:t>, does hereby</w:t>
      </w:r>
    </w:p>
    <w:p w14:paraId="28EF66B3" w14:textId="77777777" w:rsidR="00831D15" w:rsidRDefault="00831D15" w:rsidP="005402FC">
      <w:pPr>
        <w:jc w:val="both"/>
        <w:rPr>
          <w:sz w:val="24"/>
          <w:szCs w:val="24"/>
        </w:rPr>
      </w:pPr>
    </w:p>
    <w:p w14:paraId="28EF66B4" w14:textId="77777777" w:rsidR="00831D15" w:rsidRDefault="00831D15" w:rsidP="005402FC">
      <w:pPr>
        <w:jc w:val="both"/>
        <w:rPr>
          <w:sz w:val="24"/>
          <w:szCs w:val="24"/>
        </w:rPr>
      </w:pPr>
      <w:r>
        <w:rPr>
          <w:sz w:val="24"/>
          <w:szCs w:val="24"/>
        </w:rPr>
        <w:tab/>
      </w:r>
      <w:r>
        <w:rPr>
          <w:b/>
          <w:bCs/>
          <w:sz w:val="24"/>
          <w:szCs w:val="24"/>
        </w:rPr>
        <w:t>STRONGLY URGE</w:t>
      </w:r>
      <w:r>
        <w:rPr>
          <w:sz w:val="24"/>
          <w:szCs w:val="24"/>
        </w:rPr>
        <w:t xml:space="preserve"> Congress to maintain a firm national commitment to providing equal access to the system of justice for the nation’s poor, as called for under the Legal Services Corporation Act of 1974; and</w:t>
      </w:r>
    </w:p>
    <w:p w14:paraId="28EF66B5" w14:textId="77777777" w:rsidR="00831D15" w:rsidRDefault="00831D15" w:rsidP="005402FC">
      <w:pPr>
        <w:jc w:val="both"/>
        <w:rPr>
          <w:sz w:val="24"/>
          <w:szCs w:val="24"/>
        </w:rPr>
      </w:pPr>
    </w:p>
    <w:p w14:paraId="28EF66B6" w14:textId="77777777" w:rsidR="00831D15" w:rsidRDefault="00831D15" w:rsidP="005402FC">
      <w:pPr>
        <w:jc w:val="both"/>
        <w:rPr>
          <w:sz w:val="24"/>
          <w:szCs w:val="24"/>
        </w:rPr>
      </w:pPr>
      <w:r>
        <w:rPr>
          <w:sz w:val="24"/>
          <w:szCs w:val="24"/>
        </w:rPr>
        <w:tab/>
      </w:r>
      <w:r>
        <w:rPr>
          <w:b/>
          <w:bCs/>
          <w:sz w:val="24"/>
          <w:szCs w:val="24"/>
        </w:rPr>
        <w:t>STRONGLY URGE</w:t>
      </w:r>
      <w:r>
        <w:rPr>
          <w:sz w:val="24"/>
          <w:szCs w:val="24"/>
        </w:rPr>
        <w:t xml:space="preserve"> the United States Congress to increase federal funding for the legal services programs nationwide, especially this year when the need is even greater; and</w:t>
      </w:r>
    </w:p>
    <w:p w14:paraId="28EF66B7" w14:textId="77777777" w:rsidR="00831D15" w:rsidRDefault="00831D15" w:rsidP="005402FC">
      <w:pPr>
        <w:jc w:val="both"/>
        <w:rPr>
          <w:sz w:val="24"/>
          <w:szCs w:val="24"/>
        </w:rPr>
      </w:pPr>
    </w:p>
    <w:p w14:paraId="28EF66B8" w14:textId="77777777" w:rsidR="00831D15" w:rsidRDefault="00831D15" w:rsidP="005402FC">
      <w:pPr>
        <w:jc w:val="both"/>
        <w:rPr>
          <w:sz w:val="24"/>
          <w:szCs w:val="24"/>
        </w:rPr>
      </w:pPr>
      <w:r>
        <w:rPr>
          <w:sz w:val="24"/>
          <w:szCs w:val="24"/>
        </w:rPr>
        <w:tab/>
      </w:r>
      <w:r>
        <w:rPr>
          <w:b/>
          <w:bCs/>
          <w:sz w:val="24"/>
          <w:szCs w:val="24"/>
        </w:rPr>
        <w:t>STRONGLY URGE</w:t>
      </w:r>
      <w:r>
        <w:rPr>
          <w:sz w:val="24"/>
          <w:szCs w:val="24"/>
        </w:rPr>
        <w:t xml:space="preserve"> all members of the State Bar of Montana to participate in </w:t>
      </w:r>
      <w:r>
        <w:rPr>
          <w:i/>
          <w:iCs/>
          <w:sz w:val="24"/>
          <w:szCs w:val="24"/>
        </w:rPr>
        <w:t>pro bono</w:t>
      </w:r>
      <w:r>
        <w:rPr>
          <w:sz w:val="24"/>
          <w:szCs w:val="24"/>
        </w:rPr>
        <w:t xml:space="preserve"> programs established through the collaboration and cooperation between the State Bar of Montana, local bar associations, MLSA, and various other entities, to assist in providing legal services for those unable to pay.</w:t>
      </w:r>
    </w:p>
    <w:p w14:paraId="28EF66B9" w14:textId="77777777" w:rsidR="00831D15" w:rsidRDefault="00831D15" w:rsidP="005402FC">
      <w:pPr>
        <w:jc w:val="both"/>
        <w:rPr>
          <w:sz w:val="24"/>
          <w:szCs w:val="24"/>
        </w:rPr>
      </w:pPr>
    </w:p>
    <w:p w14:paraId="28EF66BA" w14:textId="77777777" w:rsidR="00831D15" w:rsidRDefault="00831D15" w:rsidP="005402FC">
      <w:pPr>
        <w:keepNext/>
        <w:framePr w:dropCap="drop" w:lines="2" w:wrap="auto" w:vAnchor="text" w:hAnchor="text"/>
        <w:spacing w:line="440" w:lineRule="exact"/>
        <w:jc w:val="both"/>
        <w:rPr>
          <w:position w:val="-4"/>
          <w:sz w:val="58"/>
          <w:szCs w:val="58"/>
        </w:rPr>
      </w:pPr>
      <w:r>
        <w:rPr>
          <w:position w:val="-4"/>
          <w:sz w:val="58"/>
          <w:szCs w:val="58"/>
        </w:rPr>
        <w:tab/>
        <w:t>A</w:t>
      </w:r>
    </w:p>
    <w:p w14:paraId="28EF66BB" w14:textId="12865065" w:rsidR="00831D15" w:rsidRDefault="00831D15" w:rsidP="002A2EEC">
      <w:pPr>
        <w:jc w:val="both"/>
        <w:rPr>
          <w:sz w:val="24"/>
          <w:szCs w:val="24"/>
        </w:rPr>
      </w:pPr>
      <w:r>
        <w:rPr>
          <w:sz w:val="24"/>
          <w:szCs w:val="24"/>
        </w:rPr>
        <w:t xml:space="preserve">dopted by the membership of the State Bar of Montana, September </w:t>
      </w:r>
      <w:r w:rsidR="00242767">
        <w:rPr>
          <w:sz w:val="24"/>
          <w:szCs w:val="24"/>
        </w:rPr>
        <w:t>13,</w:t>
      </w:r>
      <w:r>
        <w:rPr>
          <w:sz w:val="24"/>
          <w:szCs w:val="24"/>
        </w:rPr>
        <w:t xml:space="preserve"> 201</w:t>
      </w:r>
      <w:r w:rsidR="00242767">
        <w:rPr>
          <w:sz w:val="24"/>
          <w:szCs w:val="24"/>
        </w:rPr>
        <w:t>9</w:t>
      </w:r>
      <w:r>
        <w:rPr>
          <w:sz w:val="24"/>
          <w:szCs w:val="24"/>
        </w:rPr>
        <w:t>.</w:t>
      </w:r>
    </w:p>
    <w:p w14:paraId="28EF66BC" w14:textId="77777777" w:rsidR="00831D15" w:rsidRDefault="00831D15" w:rsidP="005402FC">
      <w:pPr>
        <w:jc w:val="both"/>
        <w:rPr>
          <w:sz w:val="24"/>
          <w:szCs w:val="24"/>
        </w:rPr>
      </w:pPr>
    </w:p>
    <w:p w14:paraId="28EF66BD" w14:textId="77777777" w:rsidR="00831D15" w:rsidRDefault="00831D15" w:rsidP="005402FC">
      <w:pPr>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8EF66BE" w14:textId="77777777" w:rsidR="00831D15" w:rsidRDefault="00831D15"/>
    <w:sectPr w:rsidR="00831D15" w:rsidSect="005402FC">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E36B6B5-4C35-43A3-84D3-18CF63536C72}"/>
    <w:docVar w:name="dgnword-eventsink" w:val="3600128"/>
  </w:docVars>
  <w:rsids>
    <w:rsidRoot w:val="005402FC"/>
    <w:rsid w:val="000B1243"/>
    <w:rsid w:val="000D580F"/>
    <w:rsid w:val="001454EE"/>
    <w:rsid w:val="00182A77"/>
    <w:rsid w:val="001E6599"/>
    <w:rsid w:val="00222662"/>
    <w:rsid w:val="00242767"/>
    <w:rsid w:val="002647E8"/>
    <w:rsid w:val="002A2EEC"/>
    <w:rsid w:val="00347D8B"/>
    <w:rsid w:val="004124A5"/>
    <w:rsid w:val="00456204"/>
    <w:rsid w:val="00493E2E"/>
    <w:rsid w:val="005402FC"/>
    <w:rsid w:val="00627674"/>
    <w:rsid w:val="00642DBE"/>
    <w:rsid w:val="006A2101"/>
    <w:rsid w:val="00723B27"/>
    <w:rsid w:val="0076165B"/>
    <w:rsid w:val="00831D15"/>
    <w:rsid w:val="008D58D0"/>
    <w:rsid w:val="00A2059A"/>
    <w:rsid w:val="00A23540"/>
    <w:rsid w:val="00A51810"/>
    <w:rsid w:val="00AF158A"/>
    <w:rsid w:val="00B339F5"/>
    <w:rsid w:val="00C47BA5"/>
    <w:rsid w:val="00C777C7"/>
    <w:rsid w:val="00CC637A"/>
    <w:rsid w:val="00CD3390"/>
    <w:rsid w:val="00D144ED"/>
    <w:rsid w:val="00D14801"/>
    <w:rsid w:val="00F26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8EF66A2"/>
  <w15:docId w15:val="{EEF31673-0AAF-4A59-B04E-567B011A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2FC"/>
    <w:pPr>
      <w:autoSpaceDE w:val="0"/>
      <w:autoSpaceDN w:val="0"/>
      <w:adjustRightInd w:val="0"/>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B61059B478C24DB481B73DEAD4F4E2" ma:contentTypeVersion="9" ma:contentTypeDescription="Create a new document." ma:contentTypeScope="" ma:versionID="8ff3eeb4e87acf7a6f9b92550c2f4a29">
  <xsd:schema xmlns:xsd="http://www.w3.org/2001/XMLSchema" xmlns:xs="http://www.w3.org/2001/XMLSchema" xmlns:p="http://schemas.microsoft.com/office/2006/metadata/properties" xmlns:ns2="0a200933-a689-4849-8959-0c9174eed9ce" xmlns:ns3="8f108682-a5cd-4c1c-9717-db55283e8d37" targetNamespace="http://schemas.microsoft.com/office/2006/metadata/properties" ma:root="true" ma:fieldsID="cb8b659a272bdd916c92c473856da129" ns2:_="" ns3:_="">
    <xsd:import namespace="0a200933-a689-4849-8959-0c9174eed9ce"/>
    <xsd:import namespace="8f108682-a5cd-4c1c-9717-db55283e8d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00933-a689-4849-8959-0c9174eed9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108682-a5cd-4c1c-9717-db55283e8d3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99C76D-51ED-4826-9AB3-0427728DA6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A601C8-BF5D-4C9B-AFE6-E59B344D196E}">
  <ds:schemaRefs>
    <ds:schemaRef ds:uri="http://schemas.microsoft.com/sharepoint/v3/contenttype/forms"/>
  </ds:schemaRefs>
</ds:datastoreItem>
</file>

<file path=customXml/itemProps3.xml><?xml version="1.0" encoding="utf-8"?>
<ds:datastoreItem xmlns:ds="http://schemas.openxmlformats.org/officeDocument/2006/customXml" ds:itemID="{657D636F-5ABD-42D1-8236-E78873F31CA6}"/>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STATE BAR OF MONTANA</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OF MONTANA</dc:title>
  <dc:creator>Krista Partridge</dc:creator>
  <cp:lastModifiedBy>Jill Diveley</cp:lastModifiedBy>
  <cp:revision>2</cp:revision>
  <cp:lastPrinted>2011-09-26T14:46:00Z</cp:lastPrinted>
  <dcterms:created xsi:type="dcterms:W3CDTF">2019-07-30T15:38:00Z</dcterms:created>
  <dcterms:modified xsi:type="dcterms:W3CDTF">2019-07-30T15:38:00Z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0x01010053B61059B478C24DB481B73DEAD4F4E2</vt:lpwstr>
  </property>
  <property fmtid="{D5CDD505-2E9C-101B-9397-08002B2CF9AE}" pid="3" name="Order">
    <vt:r8>3338000</vt:r8>
  </property>
</Properties>
</file>